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>
          <w:color w:val="003366"/>
        </w:rPr>
        <w:t>MS1: Recruitment &amp; Selection (Weighting 5)</w:t>
      </w:r>
    </w:p>
    <w:p>
      <w:pPr>
        <w:pStyle w:val="Heading2"/>
        <w:rPr/>
      </w:pPr>
      <w:r>
        <w:rPr>
          <w:color w:val="336699"/>
        </w:rPr>
        <w:t>Workforce planning &amp; scaling capacity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State how you will resource to meet forecast demand of 4,150 days total (1,240 Britain; 2,910 Modern) and peak concurrent requirements of 12 staff (Modern) and 9 staff (Britain), including ability to scale to 25+ staff during concurrent exhibitions; include standby provision assumptions (3 daily: 1 Britain, 2 Modern) and how recruitment pipelines cover this. Cite: volumes/peaks/standby [Part A §3]. Caution: Do NOT cross-refer to other method statements as per [Part A §1]. Caution: Do NOT include anything not directly relevant to recruitment &amp; selection as per [Part A §1].</w:t>
      </w:r>
    </w:p>
    <w:p>
      <w:pPr>
        <w:pStyle w:val="Heading2"/>
        <w:rPr/>
      </w:pPr>
      <w:r>
        <w:rPr>
          <w:color w:val="336699"/>
        </w:rPr>
        <w:t>Selection criteria aligned to role requirements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Specify screening for “excellent communication skills” and “people-oriented” traits, plus reliability for fixed start times and shift patterns; include structured competency questions and assessment steps. Cite: people-oriented/communication requirement [Part A §4 / Part B MS1]. Caution: Do NOT add marketing/promotional language as per [Part A §1].</w:t>
      </w:r>
    </w:p>
    <w:p>
      <w:pPr>
        <w:pStyle w:val="Heading2"/>
        <w:rPr/>
      </w:pPr>
      <w:r>
        <w:rPr>
          <w:color w:val="336699"/>
        </w:rPr>
        <w:t>Vetting, right to work &amp; BPSS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Explicitly confirm HMG Baseline Personnel Security Standard (BPSS) vetting will be completed for all supplied staff, alongside right-to-work checks and identity verification, and that records are maintained. Cite: BPSS requirement [Part A §4 / Part B MS1]. Caution: Do NOT imply any unauthorised contact with Tate staff/officers during vetting/onboarding as per [Part A §1].</w:t>
      </w:r>
    </w:p>
    <w:p>
      <w:pPr>
        <w:pStyle w:val="Heading2"/>
        <w:rPr/>
      </w:pPr>
      <w:r>
        <w:rPr>
          <w:color w:val="336699"/>
        </w:rPr>
        <w:t>Recruitment contingency (non-TUPE reliance)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Include a clear contingency plan that does not rely on any TUPE transfer (e.g., reserve pool, rapid re-hire, pre-cleared candidates) to ensure adequate recruitment regardless of transfer outcomes. Cite: “adequate recruitment… without having to rely on a transfer” [Part A §4 / Part B MS4]. Caution: Do NOT cross-refer to TUPE response elsewhere as per [Part A §1].</w:t>
      </w:r>
    </w:p>
    <w:p>
      <w:pPr>
        <w:pStyle w:val="Heading1"/>
        <w:rPr/>
      </w:pPr>
      <w:r>
        <w:rPr>
          <w:color w:val="003366"/>
        </w:rPr>
        <w:t>MS2: Training &amp; Induction (Weighting 4)</w:t>
      </w:r>
    </w:p>
    <w:p>
      <w:pPr>
        <w:pStyle w:val="Heading2"/>
        <w:rPr/>
      </w:pPr>
      <w:r>
        <w:rPr>
          <w:color w:val="336699"/>
        </w:rPr>
        <w:t>Engage+ induction attendance &amp; scheduling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State that Tate delivers the Engage+ induction/service standard training and you will ensure all staff attend as required, including scheduling around shift patterns (09:48–18:00; half shifts; evenings) and maintaining cover. Cite: Engage+ reference [Part A §4 / Part B MS2]; shift times [Part A §3]. Caution: Do NOT include irrelevant operational detail beyond training logistics as per [Part A §1].</w:t>
      </w:r>
    </w:p>
    <w:p>
      <w:pPr>
        <w:pStyle w:val="Heading2"/>
        <w:rPr/>
      </w:pPr>
      <w:r>
        <w:rPr>
          <w:color w:val="C9211E"/>
        </w:rPr>
        <w:t>COMMERCIAL TRAP WARNING:</w:t>
      </w:r>
      <w:r>
        <w:rPr>
          <w:color w:val="336699"/>
        </w:rPr>
        <w:t xml:space="preserve"> Training hours not chargeable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Explicitly confirm you will not charge Tate for training hours/wages for staff attending Tate-delivered training/induction; describe how you absorb and manage this cost internally. Cite: “would not expect to be charged for training hours… free of charge” [Part A §2]. Caution: Do NOT contradict by suggesting billing for induction attendance as per [Part A §2].</w:t>
      </w:r>
    </w:p>
    <w:p>
      <w:pPr>
        <w:pStyle w:val="Heading2"/>
        <w:rPr/>
      </w:pPr>
      <w:r>
        <w:rPr>
          <w:color w:val="336699"/>
        </w:rPr>
        <w:t>Training records, competence sign-off &amp; refreshers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Describe how you will track completion, competence sign-off, and refresher training to maintain service consistency with Engage+; include audit-ready records. Cite: Engage+ requirement [Part A §4 / Part B MS2]. Caution: Do NOT cross-refer to performance management MS as per [Part A §1].</w:t>
      </w:r>
    </w:p>
    <w:p>
      <w:pPr>
        <w:pStyle w:val="Heading1"/>
        <w:rPr/>
      </w:pPr>
      <w:r>
        <w:rPr>
          <w:color w:val="003366"/>
        </w:rPr>
        <w:t>MS3: Diversity (Weighting 3)</w:t>
      </w:r>
    </w:p>
    <w:p>
      <w:pPr>
        <w:pStyle w:val="Heading2"/>
        <w:rPr/>
      </w:pPr>
      <w:r>
        <w:rPr>
          <w:color w:val="336699"/>
        </w:rPr>
        <w:t>Access to Tate diversity networks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Content Recommendation: Commit to allowing supplied workers access to participate in Tate’s staff diversity networks when offered, and explain how you will facilitate participation without impacting service delivery. Cite: access to diversity networks [Part A §2 / Part B MS3]. </w:t>
      </w:r>
      <w:r>
        <w:rPr>
          <w:color w:val="C9211E"/>
        </w:rPr>
        <w:t>COMMERCIAL TRAP WARNING:</w:t>
      </w:r>
      <w:r>
        <w:rPr/>
        <w:t xml:space="preserve"> Do not charge Tate for hours spent participating in Tate diversity networks; confirm supplier absorbs this cost. Cite: unbillable participation [Part A §2]. Caution: Do NOT include marketing statements as per [Part A §1].</w:t>
      </w:r>
    </w:p>
    <w:p>
      <w:pPr>
        <w:pStyle w:val="Heading2"/>
        <w:rPr/>
      </w:pPr>
      <w:r>
        <w:rPr>
          <w:color w:val="336699"/>
        </w:rPr>
        <w:t>Diversity data capture &amp; reporting cadence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Commit to collecting workforce diversity data and reporting it to Tate twice annually, including what metrics will be included and how confidentiality is maintained. Cite: twice annual reporting [Part A §4 / Part B MS3]. Caution: Do NOT include unrelated HR policy content as per [Part A §1].</w:t>
      </w:r>
    </w:p>
    <w:p>
      <w:pPr>
        <w:pStyle w:val="Heading2"/>
        <w:rPr/>
      </w:pPr>
      <w:r>
        <w:rPr>
          <w:color w:val="336699"/>
        </w:rPr>
        <w:t>Inclusive recruitment &amp; fair selection controls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Set out controls to ensure inclusive recruitment and fair selection aligned to the role’s communication/people skills requirements, and how bias is mitigated in screening/interviews. Cite: selection traits [Part A §4 / Part B MS1]. Caution: Do NOT cross-refer to recruitment MS as per [Part A §1].</w:t>
      </w:r>
    </w:p>
    <w:p>
      <w:pPr>
        <w:pStyle w:val="Heading1"/>
        <w:rPr/>
      </w:pPr>
      <w:r>
        <w:rPr>
          <w:color w:val="003366"/>
        </w:rPr>
        <w:t>MS4: TUPE (Weighting 4)</w:t>
      </w:r>
    </w:p>
    <w:p>
      <w:pPr>
        <w:pStyle w:val="Heading2"/>
        <w:rPr/>
      </w:pPr>
      <w:r>
        <w:rPr>
          <w:color w:val="336699"/>
        </w:rPr>
        <w:t>TUPE applicability &amp; no-warranty acknowledgement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State TUPE may apply and acknowledge Tate provides no warranties regarding staff willingness to transfer; describe your due diligence approach and how you will manage uncertainty. Cite: TUPE may apply/no warranties [Part A §4 / Part B MS4]. Caution: Do NOT include irrelevant legal commentary beyond the tender requirement as per [Part A §1].</w:t>
      </w:r>
    </w:p>
    <w:p>
      <w:pPr>
        <w:pStyle w:val="Heading2"/>
        <w:rPr/>
      </w:pPr>
      <w:r>
        <w:rPr>
          <w:color w:val="336699"/>
        </w:rPr>
        <w:t>Non-reliance recruitment &amp; mobilisation plan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Provide a mobilisation plan that ensures adequate recruitment without relying on transfer, including timelines and reserve staffing to meet peak/standby requirements. Cite: non-reliance requirement [Part A §4 / Part B MS4]; peaks/standby [Part A §3]. Caution: Do NOT cross-refer to MS1 as per [Part A §1].</w:t>
      </w:r>
    </w:p>
    <w:p>
      <w:pPr>
        <w:pStyle w:val="Heading2"/>
        <w:rPr/>
      </w:pPr>
      <w:r>
        <w:rPr>
          <w:color w:val="336699"/>
        </w:rPr>
        <w:t>Employee communications &amp; continuity of service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Describe how you will communicate with affected staff (where permitted) and maintain continuity of service across both sites while respecting the “no contact” constraint (only via authorised channels). Cite: no contact constraint [Part A §1]. Caution: Do NOT contact Tate members/officers except as authorised as per [Part A §1].</w:t>
      </w:r>
    </w:p>
    <w:p>
      <w:pPr>
        <w:pStyle w:val="Heading1"/>
        <w:rPr/>
      </w:pPr>
      <w:r>
        <w:rPr>
          <w:color w:val="003366"/>
        </w:rPr>
        <w:t>MS5: People Management (Weighting 5)</w:t>
      </w:r>
    </w:p>
    <w:p>
      <w:pPr>
        <w:pStyle w:val="Heading2"/>
        <w:rPr/>
      </w:pPr>
      <w:r>
        <w:rPr>
          <w:color w:val="336699"/>
        </w:rPr>
        <w:t>Shift management &amp; timekeeping (including unpaid lunch)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Explain how you will manage punctual attendance for the 09:48 start and other shift times (09:54–14:00; 13:24–17:30; 18:00–22:00), and explicitly address the 1-hour unpaid lunch break logistics within the full day (7.2 hours paid). Cite: shift times/paid hours/unpaid lunch [Part A §3 / Part B MS5]. Caution: Do NOT include irrelevant payroll detail beyond what supports people management as per [Part A §1].</w:t>
      </w:r>
    </w:p>
    <w:p>
      <w:pPr>
        <w:pStyle w:val="Heading2"/>
        <w:rPr/>
      </w:pPr>
      <w:r>
        <w:rPr>
          <w:color w:val="336699"/>
        </w:rPr>
        <w:t>Standby staffing model &amp; flexibility control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Content Recommendation: Detail how you will roster and manage standby staff (3 daily: 1 Britain, 2 Modern), including the requirement that standby may work a half day (09:54–14:00) but must be able to work a full day (09:48–18:00) if required; include availability confirmation and escalation steps. Cite: standby requirement and half/full-day flexibility [Part A §2, §3 / Part B MS5]. </w:t>
      </w:r>
      <w:r>
        <w:rPr>
          <w:color w:val="C9211E"/>
        </w:rPr>
        <w:t>COMMERCIAL TRAP WARNING:</w:t>
      </w:r>
      <w:r>
        <w:rPr/>
        <w:t xml:space="preserve"> Ensure the narrative does not assume guaranteed full-day pay for standby; manage availability risk internally. Cite: standby risk [Part A §2]. Caution: Do NOT cross-refer to difficulties/mitigation MS as per [Part A §1].</w:t>
      </w:r>
    </w:p>
    <w:p>
      <w:pPr>
        <w:pStyle w:val="Heading2"/>
        <w:rPr/>
      </w:pPr>
      <w:r>
        <w:rPr>
          <w:color w:val="336699"/>
        </w:rPr>
        <w:t>Supervision, welfare &amp; conduct on site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Set out on-site supervision approach, welfare checks, and conduct expectations to support visitor-facing roles, ensuring staff are people-oriented and communicative. Cite: role traits [Part A §4 / Part B MS1]. Caution: Do NOT add promotional content as per [Part A §1].</w:t>
      </w:r>
    </w:p>
    <w:p>
      <w:pPr>
        <w:pStyle w:val="Heading2"/>
        <w:rPr/>
      </w:pPr>
      <w:r>
        <w:rPr>
          <w:color w:val="336699"/>
        </w:rPr>
        <w:t>Account Manager engagement (monthly meetings)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Confirm an Account Manager will attend monthly meetings and describe how actions are tracked and closed out. Cite: monthly meetings [Part A §4 / Part B MS5]. Caution: Do NOT cross-refer to account management MS as per [Part A §1].</w:t>
      </w:r>
    </w:p>
    <w:p>
      <w:pPr>
        <w:pStyle w:val="Heading1"/>
        <w:rPr/>
      </w:pPr>
      <w:r>
        <w:rPr>
          <w:color w:val="003366"/>
        </w:rPr>
        <w:t>MS6: Performance Management (Weighting 3)</w:t>
      </w:r>
    </w:p>
    <w:p>
      <w:pPr>
        <w:pStyle w:val="Heading2"/>
        <w:rPr/>
      </w:pPr>
      <w:r>
        <w:rPr>
          <w:color w:val="336699"/>
        </w:rPr>
        <w:t>Behavioural standards aligned to Tate Visitor Engagement Qualities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Describe how you will manage and coach performance explicitly aligned to “Open, Kind, Bold, Rigorous,” including observation, feedback loops, and corrective actions. Cite: Visitor Engagement Qualities [Part A §4 / Part B MS6]. Caution: Do NOT include unrelated KPI frameworks not tied to this MS as per [Part A §1].</w:t>
      </w:r>
    </w:p>
    <w:p>
      <w:pPr>
        <w:pStyle w:val="Heading2"/>
        <w:rPr/>
      </w:pPr>
      <w:r>
        <w:rPr>
          <w:color w:val="336699"/>
        </w:rPr>
        <w:t>Performance monitoring &amp; issue resolution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Set out how performance issues are identified, documented, and resolved while maintaining service continuity across variable shift patterns. Cite: shift patterns [Part A §3]. Caution: Do NOT cross-refer to contractual performance MS as per [Part A §1].</w:t>
      </w:r>
    </w:p>
    <w:p>
      <w:pPr>
        <w:pStyle w:val="Heading1"/>
        <w:rPr/>
      </w:pPr>
      <w:r>
        <w:rPr>
          <w:color w:val="003366"/>
        </w:rPr>
        <w:t>MS7: Terms &amp; Conditions (Weighting 2)</w:t>
      </w:r>
    </w:p>
    <w:p>
      <w:pPr>
        <w:pStyle w:val="Heading2"/>
        <w:rPr/>
      </w:pPr>
      <w:r>
        <w:rPr>
          <w:color w:val="336699"/>
        </w:rPr>
        <w:t>Contract type approach (move away from zero-hours while retaining flexibility)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Explain how you will support Tate’s desire to move away from traditional zero-hours contracts while still meeting fluctuating demand and short-notice changes; specify the contract models you will use (without irrelevant legal detail). Cite: move away from zero-hours [Part A §4 / Part B MS7]; notice periods (1 week / 24 hours changes) [Part A §3]. Caution: Do NOT cross-refer to difficulties/mitigation MS as per [Part A §1].</w:t>
      </w:r>
    </w:p>
    <w:p>
      <w:pPr>
        <w:pStyle w:val="Heading2"/>
        <w:rPr/>
      </w:pPr>
      <w:r>
        <w:rPr>
          <w:color w:val="336699"/>
        </w:rPr>
        <w:t>Pay rate compliance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Explicitly confirm staff will be paid at least the Tate starter rate of £11.94/hour and explain how compliance is assured. Cite: £11.94/hr [Part A §3 / Part B MS7]. Caution: Do NOT include pricing/mark-up narrative not directly relevant to T&amp;Cs as per [Part A §1].</w:t>
      </w:r>
    </w:p>
    <w:p>
      <w:pPr>
        <w:pStyle w:val="Heading2"/>
        <w:rPr/>
      </w:pPr>
      <w:r>
        <w:rPr>
          <w:color w:val="336699"/>
        </w:rPr>
        <w:t>Breaks and paid hours clarity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Confirm understanding of 1-hour unpaid lunch and paid hours per shift (e.g., 7.2 hours paid for 09:48–18:00) and how this is reflected in worker terms. Cite: unpaid lunch/paid hours [Part A §2, §3]. Caution: Do NOT introduce contradictory paid-break assumptions as per [Part A §2].</w:t>
      </w:r>
    </w:p>
    <w:p>
      <w:pPr>
        <w:pStyle w:val="Heading1"/>
        <w:rPr/>
      </w:pPr>
      <w:r>
        <w:rPr>
          <w:color w:val="003366"/>
        </w:rPr>
        <w:t>MS8: Service Engagement (Weighting 4)</w:t>
      </w:r>
    </w:p>
    <w:p>
      <w:pPr>
        <w:pStyle w:val="Heading2"/>
        <w:rPr/>
      </w:pPr>
      <w:r>
        <w:rPr>
          <w:color w:val="336699"/>
        </w:rPr>
        <w:t>“</w:t>
      </w:r>
      <w:r>
        <w:rPr>
          <w:color w:val="336699"/>
        </w:rPr>
        <w:t>One Tate” integration &amp; indistinguishable service delivery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Describe how agency staff will be integrated so they are indistinguishable from the core team, aligning to One Tate ethos and Engage+ service standard behaviours. Cite: indistinguishable/One Tate ethos [Part A §4 / Part B MS8]; Engage+ [Part A §4 / Part B MS2]. Caution: Do NOT include marketing language as per [Part A §1].</w:t>
      </w:r>
    </w:p>
    <w:p>
      <w:pPr>
        <w:pStyle w:val="Heading2"/>
        <w:rPr/>
      </w:pPr>
      <w:r>
        <w:rPr>
          <w:color w:val="336699"/>
        </w:rPr>
        <w:t>Uniform provision &amp; presentation standards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Content Recommendation: Confirm supplier provides required uniform items (T-shirt/polo/sweatshirt) at supplier expense and provides sufficient cleaning and mending services; confirm staff provide black trousers/shoes; describe how compliance is checked. Cite: uniform spec and supplier cost/maintenance [Part A §2, §3]. </w:t>
      </w:r>
      <w:r>
        <w:rPr>
          <w:color w:val="C9211E"/>
        </w:rPr>
        <w:t>COMMERCIAL TRAP WARNING</w:t>
      </w:r>
      <w:r>
        <w:rPr/>
        <w:t>: Uniform purchase and maintenance are supplier-borne; do not imply recharge to Tate. Cite: uniform costs/maintenance [Part A §2]. Caution: Do NOT add irrelevant brand/promo content as per [Part A §1].</w:t>
      </w:r>
    </w:p>
    <w:p>
      <w:pPr>
        <w:pStyle w:val="Heading2"/>
        <w:rPr/>
      </w:pPr>
      <w:r>
        <w:rPr>
          <w:color w:val="336699"/>
        </w:rPr>
        <w:t>Service readiness for variable scheduling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Explain how you maintain service engagement despite 24-hour change requirements and standby arrangements, focusing on staff communication and readiness. Cite: 24-hour changes [Part A §3]; standby [Part A §3]. Caution: Do NOT cross-refer to difficulties/mitigation MS as per [Part A §1].</w:t>
      </w:r>
    </w:p>
    <w:p>
      <w:pPr>
        <w:pStyle w:val="Heading1"/>
        <w:rPr/>
      </w:pPr>
      <w:r>
        <w:rPr>
          <w:color w:val="003366"/>
        </w:rPr>
        <w:t>MS9: Values &amp; Vision (Weighting 4)</w:t>
      </w:r>
    </w:p>
    <w:p>
      <w:pPr>
        <w:pStyle w:val="Heading2"/>
        <w:rPr/>
      </w:pPr>
      <w:r>
        <w:rPr>
          <w:color w:val="336699"/>
        </w:rPr>
        <w:t>Values mapping to Open, Kind, Bold, Rigorous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Provide a clear mapping of your delivery approach to the four values (Open, Kind, Bold, Rigorous) as operational behaviours for visitor engagement staff, not generic corporate statements. Cite: values [Part A §4 / Part B MS9]. Caution: Do NOT include irrelevant company history/marketing as per [Part A §1].</w:t>
      </w:r>
    </w:p>
    <w:p>
      <w:pPr>
        <w:pStyle w:val="Heading2"/>
        <w:rPr/>
      </w:pPr>
      <w:r>
        <w:rPr>
          <w:color w:val="336699"/>
        </w:rPr>
        <w:t>Culture reinforcement through management routines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Describe how day-to-day management (briefings, coaching, feedback) reinforces the values in a visitor-facing context. Cite: values [Part A §4]. Caution: Do NOT cross-refer to performance management MS as per [Part A §1].</w:t>
      </w:r>
    </w:p>
    <w:p>
      <w:pPr>
        <w:pStyle w:val="Heading1"/>
        <w:rPr/>
      </w:pPr>
      <w:r>
        <w:rPr>
          <w:color w:val="003366"/>
        </w:rPr>
        <w:t>MS10: Account Management (Weighting 3)</w:t>
      </w:r>
    </w:p>
    <w:p>
      <w:pPr>
        <w:pStyle w:val="Heading2"/>
        <w:rPr/>
      </w:pPr>
      <w:r>
        <w:rPr>
          <w:color w:val="336699"/>
        </w:rPr>
        <w:t>Dedicated Account Manager provision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Confirm a dedicated Account Manager will be provided and describe responsibilities aligned to Tate’s requirement for account management support. Cite: dedicated Account Manager requirement [Part A §4 / Part B MS10]. Caution: Do NOT include irrelevant organisational charts beyond what supports this MS as per [Part A §1].</w:t>
      </w:r>
    </w:p>
    <w:p>
      <w:pPr>
        <w:pStyle w:val="Heading2"/>
        <w:rPr/>
      </w:pPr>
      <w:r>
        <w:rPr>
          <w:color w:val="336699"/>
        </w:rPr>
        <w:t>Governance cadence &amp; monthly meetings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Confirm Account Manager attendance at monthly meetings and define agenda items (resourcing, issues, actions) without cross-referencing other MS content. Cite: monthly meetings [Part A §4 / Part B MS5]. Caution: Do NOT cross-refer to contractual performance MS as per [Part A §1].</w:t>
      </w:r>
    </w:p>
    <w:p>
      <w:pPr>
        <w:pStyle w:val="Heading2"/>
        <w:rPr/>
      </w:pPr>
      <w:r>
        <w:rPr>
          <w:color w:val="336699"/>
        </w:rPr>
        <w:t>Diversity forum participation (if requested)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Confirm Account Manager will attend diversity forums if requested and how this will be coordinated. Cite: attend diversity forums if requested [Part A §4 / Part B MS10]. C</w:t>
      </w:r>
      <w:r>
        <w:rPr>
          <w:color w:val="C9211E"/>
        </w:rPr>
        <w:t>OMMERCIAL TRAP WARNING:</w:t>
      </w:r>
      <w:r>
        <w:rPr/>
        <w:t xml:space="preserve"> Do not charge Tate for hours spent participating in Tate diversity networks/forums. Cite: unbillable participation [Part A §2]. Caution: Do NOT add unrelated EDI initiatives not requested as per [Part A §1].</w:t>
      </w:r>
    </w:p>
    <w:p>
      <w:pPr>
        <w:pStyle w:val="Heading1"/>
        <w:rPr/>
      </w:pPr>
      <w:r>
        <w:rPr>
          <w:color w:val="003366"/>
        </w:rPr>
        <w:t>MS11: Difficulties &amp; Mitigation (Weighting 3)</w:t>
      </w:r>
    </w:p>
    <w:p>
      <w:pPr>
        <w:pStyle w:val="Heading2"/>
        <w:rPr/>
      </w:pPr>
      <w:r>
        <w:rPr>
          <w:color w:val="336699"/>
        </w:rPr>
        <w:t>Short-notice change control (24-hour requirement)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Identify the operational difficulty of 24-hour notice changes and set out mitigation (standby utilisation, reserve pool, rapid confirmation process) tied to the specified standby model. Cite: 24-hour changes [Part A §3 / Part B MS11]; standby requirement [Part A §3]. Caution: Do NOT cross-refer to people management MS as per [Part A §1].</w:t>
      </w:r>
    </w:p>
    <w:p>
      <w:pPr>
        <w:pStyle w:val="Heading2"/>
        <w:rPr/>
      </w:pPr>
      <w:r>
        <w:rPr>
          <w:color w:val="336699"/>
        </w:rPr>
        <w:t>Budget/volume fluctuation risk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Address the risk of fluctuating budget/volume (estimate £700k–£850k) and explain how you will flex resourcing while maintaining service quality and pay compliance. Cite: budget range [Part A §4 / Part B MS11]; £11.94/hr [Part A §3]. Caution: Do NOT include pricing/mark-up detail not directly relevant to mitigation as per [Part A §1].</w:t>
      </w:r>
    </w:p>
    <w:p>
      <w:pPr>
        <w:pStyle w:val="Heading2"/>
        <w:rPr/>
      </w:pPr>
      <w:r>
        <w:rPr>
          <w:color w:val="336699"/>
        </w:rPr>
        <w:t>Standby half-day/full-day uncertainty</w:t>
      </w:r>
    </w:p>
    <w:p>
      <w:pPr>
        <w:pStyle w:val="ListBullet"/>
        <w:numPr>
          <w:ilvl w:val="0"/>
          <w:numId w:val="1"/>
        </w:numPr>
        <w:rPr/>
      </w:pPr>
      <w:r>
        <w:rPr/>
        <w:t xml:space="preserve">Content Recommendation: Describe mitigation for standby uncertainty (half-day planned, full-day if required) including availability management and fair scheduling controls. Cite: standby half/full-day requirement [Part A §2, §3]. </w:t>
      </w:r>
      <w:r>
        <w:rPr>
          <w:color w:val="C9211E"/>
        </w:rPr>
        <w:t>COMMERCIAL TRAP WARNING:</w:t>
      </w:r>
      <w:r>
        <w:rPr/>
        <w:t xml:space="preserve"> Do not assume Tate will pay for standby availability beyond worked hours; manage cost risk internally. Cite: standby risk [Part A §2]. Caution: Do NOT cross-refer to pricing schedule as per [Part A §1].</w:t>
      </w:r>
    </w:p>
    <w:p>
      <w:pPr>
        <w:pStyle w:val="Heading1"/>
        <w:rPr/>
      </w:pPr>
      <w:r>
        <w:rPr>
          <w:color w:val="003366"/>
        </w:rPr>
        <w:t>MS12: Contractual Performance (Weighting 5)</w:t>
      </w:r>
    </w:p>
    <w:p>
      <w:pPr>
        <w:pStyle w:val="Heading2"/>
        <w:rPr/>
      </w:pPr>
      <w:r>
        <w:rPr>
          <w:color w:val="336699"/>
        </w:rPr>
        <w:t>KPI framework aligned to required measures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Define KPIs covering workforce diversity, employee engagement, staff turnover, and employee relations, including definitions and measurement approach. Cite: KPI areas [Part A §4 / Part B MS12]. Caution: Do NOT include unrelated KPIs not requested as per [Part A §1].</w:t>
      </w:r>
    </w:p>
    <w:p>
      <w:pPr>
        <w:pStyle w:val="Heading2"/>
        <w:rPr/>
      </w:pPr>
      <w:r>
        <w:rPr>
          <w:color w:val="336699"/>
        </w:rPr>
        <w:t>Monthly performance reporting</w:t>
      </w:r>
    </w:p>
    <w:p>
      <w:pPr>
        <w:pStyle w:val="ListBullet"/>
        <w:numPr>
          <w:ilvl w:val="0"/>
          <w:numId w:val="1"/>
        </w:numPr>
        <w:rPr/>
      </w:pPr>
      <w:r>
        <w:rPr/>
        <w:t>Content Recommendation: Commit to monthly performance reporting and specify what will be reported and how it will be reviewed in monthly meetings. Cite: monthly reporting [Part A §4 / Part B MS12]; monthly meetings [Part A §4]. Caution: Do NOT cross-refer to account management MS as per [Part A §1].</w:t>
      </w:r>
    </w:p>
    <w:p>
      <w:pPr>
        <w:pStyle w:val="Heading2"/>
        <w:rPr/>
      </w:pPr>
      <w:r>
        <w:rPr>
          <w:color w:val="336699"/>
        </w:rPr>
        <w:t>Compliance controls (insurance and supplier-borne requirements)</w:t>
      </w:r>
    </w:p>
    <w:p>
      <w:pPr>
        <w:pStyle w:val="ListBullet"/>
        <w:numPr>
          <w:ilvl w:val="0"/>
          <w:numId w:val="1"/>
        </w:numPr>
        <w:spacing w:before="0" w:after="200"/>
        <w:contextualSpacing/>
        <w:rPr/>
      </w:pPr>
      <w:r>
        <w:rPr/>
        <w:t xml:space="preserve">Content Recommendation: Confirm controls to maintain required insurances (£5m Public Liability and £5m Employers’ Liability) at no extra cost to Tate, and compliance tracking for supplier-borne obligations (uniform provision/maintenance; unbillable training and diversity participation). Cite: insurance thresholds/no extra cost [Part A §2]; uniform costs/maintenance [Part A §2]; unbillable training/diversity participation [Part A §2]. </w:t>
      </w:r>
      <w:r>
        <w:rPr>
          <w:color w:val="C9211E"/>
        </w:rPr>
        <w:t>COMMERCIAL TRAP WARNING:</w:t>
      </w:r>
      <w:r>
        <w:rPr/>
        <w:t xml:space="preserve"> Do not imply pass-through charges for these items; they are supplier absorbed. Cite: mark-up inclusions/overheads expectation [Part A §2]. Caution: Do NOT include irrelevant commercial narrative beyond contractual performance controls as per [Part A §1].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ourier">
    <w:altName w:val="Courier New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LibreOffice/25.8.4.2$Windows_X86_64 LibreOffice_project/290daaa01b999472f0c7a3890eb6a550fd74c6df</Application>
  <AppVersion>15.0000</AppVersion>
  <Pages>7</Pages>
  <Words>2325</Words>
  <Characters>13556</Characters>
  <CharactersWithSpaces>15753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2026-01-22T21:18:27Z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